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6CF" w:rsidRPr="003B76CF" w:rsidRDefault="00FE23DB" w:rsidP="001F35F3">
      <w:pPr>
        <w:keepNext/>
        <w:tabs>
          <w:tab w:val="left" w:pos="3600"/>
        </w:tabs>
        <w:spacing w:after="0"/>
        <w:jc w:val="center"/>
        <w:outlineLvl w:val="4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 xml:space="preserve">ANEXO </w:t>
      </w:r>
      <w:proofErr w:type="gramStart"/>
      <w:r>
        <w:rPr>
          <w:rFonts w:ascii="Arial" w:eastAsia="Times New Roman" w:hAnsi="Arial" w:cs="Arial"/>
          <w:b/>
          <w:lang w:eastAsia="pt-BR"/>
        </w:rPr>
        <w:t>6</w:t>
      </w:r>
      <w:proofErr w:type="gramEnd"/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u w:val="single"/>
          <w:lang w:eastAsia="pt-BR"/>
        </w:rPr>
      </w:pPr>
      <w:r w:rsidRPr="003B76CF">
        <w:rPr>
          <w:rFonts w:ascii="Arial" w:eastAsia="Times New Roman" w:hAnsi="Arial" w:cs="Arial"/>
          <w:u w:val="single"/>
          <w:lang w:eastAsia="pt-BR"/>
        </w:rPr>
        <w:t>CONVÊNIO ICMS N. 026/2003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sz w:val="20"/>
          <w:u w:val="single"/>
          <w:lang w:eastAsia="pt-BR"/>
        </w:rPr>
      </w:pP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Publicado no DOU de 09.04.2003.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Ratificação Nacional DOU de 28.04.2003, pelo </w:t>
      </w:r>
      <w:hyperlink r:id="rId9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Ato Declaratório 05/2003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Exclusão de AM e DF pelo </w:t>
      </w:r>
      <w:hyperlink r:id="rId10" w:history="1">
        <w:proofErr w:type="spellStart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Conv</w:t>
        </w:r>
        <w:proofErr w:type="spellEnd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. ICMS 61/2004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, efeitos a partir de 13.07.2004.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Vide </w:t>
      </w:r>
      <w:hyperlink r:id="rId11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Portaria ST n.º 22/2003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Disciplinado pela </w:t>
      </w:r>
      <w:hyperlink r:id="rId12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Resolução SER n.º 47/2003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>Autoriza os Estados e o Distrito Federal a conceder isenção de ICMS nas operações ou prestações internas destinadas a órgãos da Administração Pública Estadual Direta 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O Conselho Nacional de Política Fazendária – </w:t>
      </w:r>
      <w:r w:rsidRPr="003B76CF">
        <w:rPr>
          <w:rFonts w:ascii="Arial" w:eastAsia="Arial Unicode MS" w:hAnsi="Arial" w:cs="Arial"/>
          <w:b/>
          <w:lang w:eastAsia="pt-BR"/>
        </w:rPr>
        <w:t>CONFAZ</w:t>
      </w:r>
      <w:r w:rsidRPr="003B76CF">
        <w:rPr>
          <w:rFonts w:ascii="Arial" w:eastAsia="Arial Unicode MS" w:hAnsi="Arial" w:cs="Arial"/>
          <w:lang w:eastAsia="pt-BR"/>
        </w:rPr>
        <w:t xml:space="preserve">, na sua 109ª reunião ordinária, realizada em Salvador, BA, no dia 4 de abril de 2003, tendo em vista o disposto na </w:t>
      </w:r>
      <w:hyperlink r:id="rId13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24</w:t>
        </w:r>
      </w:hyperlink>
      <w:r w:rsidRPr="003B76CF">
        <w:rPr>
          <w:rFonts w:ascii="Arial" w:eastAsia="Arial Unicode MS" w:hAnsi="Arial" w:cs="Arial"/>
          <w:lang w:eastAsia="pt-BR"/>
        </w:rPr>
        <w:t>, de 7 de janeiro de 1975, resolve celebrar o seguinte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 O N V Ê N I O: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primeira - Ficam os Estados e o Distrito Federal autorizados a conceder isenção de ICMS nas operações ou prestações internas, relativas a aquisição de bens, mercadorias ou serviços por órgãos da Administração Pública Estadual Direta 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1º A isenção de que trata o "caput" fica condicionada: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 – ao desconto no preço, do valor equivalente ao imposto dispensado;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 – à indicação, no respectivo documento fiscal, do valor do desconto;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III – à comprovação de inexistência de similar produzido no país, na hipótese de qualquer operação com mercadorias importadas do exterior.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2º - A inexistência de similar produzido no país será atestada por órgão federal competente ou por entidade representativa do setor produtivo da mercadoria ou do bem com abrangência em todo o território nacional.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3º - Ficam os Estados e o Distrito Federal autorizados a dispensar o estorno do crédito fiscal a que se refere o artigo 21 da </w:t>
      </w:r>
      <w:hyperlink r:id="rId14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87</w:t>
        </w:r>
      </w:hyperlink>
      <w:r w:rsidRPr="003B76CF">
        <w:rPr>
          <w:rFonts w:ascii="Arial" w:eastAsia="Arial Unicode MS" w:hAnsi="Arial" w:cs="Arial"/>
          <w:lang w:eastAsia="pt-BR"/>
        </w:rPr>
        <w:t>, de 13 setembro de 1996.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b/>
          <w:bCs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4º - No caso de mercadorias ou serviços sujeitos ao regime de substituição tributária, os Estados podem autorizar a transferência do valor do ICMS retido por antecipação, a crédito do contribuinte substituído que realizou operação ou prestação </w:t>
      </w:r>
      <w:proofErr w:type="spellStart"/>
      <w:r w:rsidRPr="003B76CF">
        <w:rPr>
          <w:rFonts w:ascii="Arial" w:eastAsia="Arial Unicode MS" w:hAnsi="Arial" w:cs="Arial"/>
          <w:lang w:eastAsia="pt-BR"/>
        </w:rPr>
        <w:t>subseqüente</w:t>
      </w:r>
      <w:proofErr w:type="spellEnd"/>
      <w:r w:rsidRPr="003B76CF">
        <w:rPr>
          <w:rFonts w:ascii="Arial" w:eastAsia="Arial Unicode MS" w:hAnsi="Arial" w:cs="Arial"/>
          <w:lang w:eastAsia="pt-BR"/>
        </w:rPr>
        <w:t xml:space="preserve"> isenta, conforme dispuser a legislação estadual.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segunda - O disposto no inciso III da cláusula anterior não se aplica ao Estado do Paraná relativamente ao desembaraço aduaneiro de mercadoria importada do exterior efetuado até 30 de junho de 2003.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terceira - Este Convênio entra em vigor na data da publicação de sua ratificação nacional.</w:t>
      </w:r>
    </w:p>
    <w:p w:rsidR="001F35F3" w:rsidRDefault="001F35F3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</w:p>
    <w:p w:rsidR="008E1D72" w:rsidRPr="003B76CF" w:rsidRDefault="003B76CF" w:rsidP="003B76CF">
      <w:pPr>
        <w:widowControl w:val="0"/>
        <w:spacing w:after="0"/>
        <w:jc w:val="both"/>
      </w:pPr>
      <w:r w:rsidRPr="003B76CF">
        <w:rPr>
          <w:rFonts w:ascii="Arial" w:eastAsia="Arial Unicode MS" w:hAnsi="Arial" w:cs="Arial"/>
          <w:lang w:eastAsia="pt-BR"/>
        </w:rPr>
        <w:t>Salvador, BA, 4 de abril de 2003</w:t>
      </w:r>
    </w:p>
    <w:sectPr w:rsidR="008E1D72" w:rsidRPr="003B76CF" w:rsidSect="001F3C1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5B" w:rsidRDefault="0040015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5B" w:rsidRDefault="0040015B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5B" w:rsidRDefault="0040015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5B" w:rsidRDefault="0040015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  <w:bookmarkStart w:id="0" w:name="_GoBack"/>
    <w:bookmarkEnd w:id="0"/>
  </w:p>
  <w:tbl>
    <w:tblPr>
      <w:tblW w:w="3703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703"/>
    </w:tblGrid>
    <w:tr w:rsidR="004E7AFB" w:rsidRPr="004E7AFB" w:rsidTr="00A80D17">
      <w:trPr>
        <w:trHeight w:val="262"/>
      </w:trPr>
      <w:tc>
        <w:tcPr>
          <w:tcW w:w="3703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A80D17">
      <w:trPr>
        <w:trHeight w:val="417"/>
      </w:trPr>
      <w:tc>
        <w:tcPr>
          <w:tcW w:w="3703" w:type="dxa"/>
          <w:shd w:val="clear" w:color="auto" w:fill="auto"/>
        </w:tcPr>
        <w:p w:rsidR="004E7AFB" w:rsidRPr="004E7AFB" w:rsidRDefault="004E7AFB" w:rsidP="00455BC7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59C8132B" wp14:editId="6B942DD0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63F1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455BC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3115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455BC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A80D17">
      <w:trPr>
        <w:trHeight w:val="364"/>
      </w:trPr>
      <w:tc>
        <w:tcPr>
          <w:tcW w:w="3703" w:type="dxa"/>
          <w:shd w:val="clear" w:color="auto" w:fill="auto"/>
        </w:tcPr>
        <w:p w:rsidR="004E7AFB" w:rsidRPr="004E7AFB" w:rsidRDefault="004E7AFB" w:rsidP="001541A4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455BC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27/03</w:t>
          </w:r>
          <w:r w:rsidR="0040015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455BC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A80D17">
      <w:trPr>
        <w:trHeight w:val="368"/>
      </w:trPr>
      <w:tc>
        <w:tcPr>
          <w:tcW w:w="3703" w:type="dxa"/>
          <w:shd w:val="clear" w:color="auto" w:fill="auto"/>
        </w:tcPr>
        <w:p w:rsidR="004E7AFB" w:rsidRPr="004E7AFB" w:rsidRDefault="004E7AFB" w:rsidP="00AB71F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ID: 508</w:t>
          </w:r>
          <w:r w:rsidR="001541A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5B" w:rsidRDefault="0040015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541A4"/>
    <w:rsid w:val="001F35F3"/>
    <w:rsid w:val="001F3C18"/>
    <w:rsid w:val="00270579"/>
    <w:rsid w:val="003B76CF"/>
    <w:rsid w:val="0040015B"/>
    <w:rsid w:val="00455BC7"/>
    <w:rsid w:val="00463F10"/>
    <w:rsid w:val="004E7AFB"/>
    <w:rsid w:val="008E1D72"/>
    <w:rsid w:val="00AB71FB"/>
    <w:rsid w:val="00CC4EA7"/>
    <w:rsid w:val="00FE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ef.rj.gov.br/legislacao/tributaria/basica/lei_comp_federal_24_75.shtm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receita.rj.gov.br/legislacao/tributaria/resolucao/2003/047.s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ceita.rj.gov.br/legislacao/tributaria/portarias/set/2003/022.s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sef.rj.gov.br/legislacao/tributaria//convenios_ajustes_protocolos/confaz/convenios/2004/icms04061.shtml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sef.rj.gov.br/legislacao/tributaria/convenios_ajustes_protocolos/confaz/atos_declaratorios/2003/ato%20declaratorio%2005_03.shtml" TargetMode="External"/><Relationship Id="rId14" Type="http://schemas.openxmlformats.org/officeDocument/2006/relationships/hyperlink" Target="http://www.sef.rj.gov.br/legislacao/tributaria/basica/lei_comp_federal_87_96.shtm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6E4CB-78C4-4A1D-86D8-CB0F321C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9</cp:revision>
  <dcterms:created xsi:type="dcterms:W3CDTF">2018-01-24T14:40:00Z</dcterms:created>
  <dcterms:modified xsi:type="dcterms:W3CDTF">2019-09-19T13:54:00Z</dcterms:modified>
</cp:coreProperties>
</file>